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9E037" w14:textId="3C0EFF97" w:rsidR="00BE340D" w:rsidRDefault="00523960">
      <w:pPr>
        <w:rPr>
          <w:b/>
          <w:bCs/>
          <w:color w:val="0070C0"/>
          <w:lang w:val="en-US"/>
        </w:rPr>
      </w:pPr>
      <w:r>
        <w:rPr>
          <w:b/>
          <w:bCs/>
          <w:noProof/>
          <w:color w:val="0070C0"/>
          <w:lang w:val="en-US"/>
        </w:rPr>
        <w:drawing>
          <wp:inline distT="0" distB="0" distL="0" distR="0" wp14:anchorId="15C788F0" wp14:editId="7C6EE92E">
            <wp:extent cx="1927860" cy="1284652"/>
            <wp:effectExtent l="0" t="0" r="0" b="0"/>
            <wp:docPr id="27919893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198933" name="Grafik 27919893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200" cy="1291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1A668" w14:textId="77777777" w:rsidR="00BE340D" w:rsidRPr="00BE340D" w:rsidRDefault="00BE340D">
      <w:pPr>
        <w:rPr>
          <w:b/>
          <w:bCs/>
          <w:color w:val="0070C0"/>
          <w:lang w:val="en-US"/>
        </w:rPr>
      </w:pPr>
    </w:p>
    <w:p w14:paraId="0E350681" w14:textId="54CC575A" w:rsidR="006271EA" w:rsidRPr="00523960" w:rsidRDefault="00BE340D">
      <w:pPr>
        <w:rPr>
          <w:b/>
          <w:bCs/>
          <w:color w:val="0070C0"/>
          <w:sz w:val="28"/>
          <w:szCs w:val="28"/>
          <w:lang w:val="en-US"/>
        </w:rPr>
      </w:pPr>
      <w:r w:rsidRPr="00523960">
        <w:rPr>
          <w:b/>
          <w:bCs/>
          <w:color w:val="0070C0"/>
          <w:sz w:val="28"/>
          <w:szCs w:val="28"/>
          <w:lang w:val="en-US"/>
        </w:rPr>
        <w:t>OUR GOVERNANCE PRINCIPLES</w:t>
      </w:r>
    </w:p>
    <w:p w14:paraId="3E3FFBE0" w14:textId="34E5C0AF" w:rsidR="00BE340D" w:rsidRPr="00CA20FF" w:rsidRDefault="00CA20FF">
      <w:pPr>
        <w:rPr>
          <w:i/>
          <w:iCs/>
          <w:sz w:val="22"/>
          <w:szCs w:val="22"/>
          <w:lang w:val="en-US"/>
        </w:rPr>
      </w:pPr>
      <w:r w:rsidRPr="00CA20FF">
        <w:rPr>
          <w:i/>
          <w:iCs/>
          <w:sz w:val="22"/>
          <w:szCs w:val="22"/>
          <w:lang w:val="en-US"/>
        </w:rPr>
        <w:t>(Status Jan 1</w:t>
      </w:r>
      <w:r w:rsidR="001C6D15">
        <w:rPr>
          <w:i/>
          <w:iCs/>
          <w:sz w:val="22"/>
          <w:szCs w:val="22"/>
          <w:lang w:val="en-US"/>
        </w:rPr>
        <w:t>7</w:t>
      </w:r>
      <w:r w:rsidRPr="00CA20FF">
        <w:rPr>
          <w:i/>
          <w:iCs/>
          <w:sz w:val="22"/>
          <w:szCs w:val="22"/>
          <w:lang w:val="en-US"/>
        </w:rPr>
        <w:t>, 2024)</w:t>
      </w:r>
    </w:p>
    <w:p w14:paraId="3F876B5A" w14:textId="492E3742" w:rsidR="00BE340D" w:rsidRPr="00523960" w:rsidRDefault="00BE340D">
      <w:pPr>
        <w:rPr>
          <w:sz w:val="22"/>
          <w:szCs w:val="22"/>
          <w:lang w:val="en-US"/>
        </w:rPr>
      </w:pPr>
    </w:p>
    <w:p w14:paraId="60716153" w14:textId="7294D4E6" w:rsidR="00BE340D" w:rsidRPr="00523960" w:rsidRDefault="00BE340D" w:rsidP="00CA2610">
      <w:pPr>
        <w:pStyle w:val="Listenabsatz"/>
        <w:numPr>
          <w:ilvl w:val="0"/>
          <w:numId w:val="1"/>
        </w:numPr>
        <w:ind w:left="426" w:hanging="426"/>
        <w:jc w:val="both"/>
        <w:rPr>
          <w:sz w:val="22"/>
          <w:szCs w:val="22"/>
          <w:lang w:val="en-US"/>
        </w:rPr>
      </w:pPr>
      <w:r w:rsidRPr="00523960">
        <w:rPr>
          <w:sz w:val="22"/>
          <w:szCs w:val="22"/>
          <w:lang w:val="en-US"/>
        </w:rPr>
        <w:t xml:space="preserve">The Bone Sarcoma Alliance (BSA) is not a registered organization but an </w:t>
      </w:r>
      <w:r w:rsidRPr="00523960">
        <w:rPr>
          <w:i/>
          <w:iCs/>
          <w:sz w:val="22"/>
          <w:szCs w:val="22"/>
          <w:lang w:val="en-US"/>
        </w:rPr>
        <w:t>informal partnership</w:t>
      </w:r>
      <w:r w:rsidRPr="00523960">
        <w:rPr>
          <w:sz w:val="22"/>
          <w:szCs w:val="22"/>
          <w:lang w:val="en-US"/>
        </w:rPr>
        <w:t xml:space="preserve"> initiative composed of patient groups/organizations, patient/parent advocates and patient networks.</w:t>
      </w:r>
      <w:r w:rsidR="00AE13CE" w:rsidRPr="00523960">
        <w:rPr>
          <w:sz w:val="22"/>
          <w:szCs w:val="22"/>
          <w:lang w:val="en-US"/>
        </w:rPr>
        <w:t xml:space="preserve"> Individual patients are not admitted</w:t>
      </w:r>
      <w:r w:rsidR="00905AC7" w:rsidRPr="00523960">
        <w:rPr>
          <w:sz w:val="22"/>
          <w:szCs w:val="22"/>
          <w:lang w:val="en-US"/>
        </w:rPr>
        <w:t xml:space="preserve"> unless they qualify as patient/parent advocates or patient experts. </w:t>
      </w:r>
    </w:p>
    <w:p w14:paraId="03F9ABFF" w14:textId="77777777" w:rsidR="00BE340D" w:rsidRPr="00523960" w:rsidRDefault="00BE340D" w:rsidP="00CA2610">
      <w:pPr>
        <w:pStyle w:val="Listenabsatz"/>
        <w:ind w:left="426" w:hanging="426"/>
        <w:jc w:val="both"/>
        <w:rPr>
          <w:sz w:val="22"/>
          <w:szCs w:val="22"/>
          <w:lang w:val="en-US"/>
        </w:rPr>
      </w:pPr>
    </w:p>
    <w:p w14:paraId="7C63A325" w14:textId="7FB44043" w:rsidR="00BE340D" w:rsidRPr="00523960" w:rsidRDefault="00BE340D" w:rsidP="00CA2610">
      <w:pPr>
        <w:pStyle w:val="Listenabsatz"/>
        <w:numPr>
          <w:ilvl w:val="0"/>
          <w:numId w:val="1"/>
        </w:numPr>
        <w:ind w:left="426" w:hanging="426"/>
        <w:jc w:val="both"/>
        <w:rPr>
          <w:sz w:val="22"/>
          <w:szCs w:val="22"/>
          <w:lang w:val="en-US"/>
        </w:rPr>
      </w:pPr>
      <w:r w:rsidRPr="00523960">
        <w:rPr>
          <w:sz w:val="22"/>
          <w:szCs w:val="22"/>
          <w:lang w:val="en-US"/>
        </w:rPr>
        <w:t>The Bone Sarcoma Alliance is an initiative arising from Sarcoma Patient Advocacy Global Network (SPAGN) and the patient/parent group of the Fighting Osteosarcoma Through European Research (FOSTER) consortium with the</w:t>
      </w:r>
      <w:r w:rsidR="00543A7D" w:rsidRPr="00523960">
        <w:rPr>
          <w:sz w:val="22"/>
          <w:szCs w:val="22"/>
          <w:lang w:val="en-US"/>
        </w:rPr>
        <w:t xml:space="preserve"> common</w:t>
      </w:r>
      <w:r w:rsidRPr="00523960">
        <w:rPr>
          <w:sz w:val="22"/>
          <w:szCs w:val="22"/>
          <w:lang w:val="en-US"/>
        </w:rPr>
        <w:t xml:space="preserve"> aim of </w:t>
      </w:r>
      <w:r w:rsidR="00D947B1" w:rsidRPr="00523960">
        <w:rPr>
          <w:sz w:val="22"/>
          <w:szCs w:val="22"/>
          <w:lang w:val="en-US"/>
        </w:rPr>
        <w:t xml:space="preserve">amplifying the voice of </w:t>
      </w:r>
      <w:r w:rsidRPr="00523960">
        <w:rPr>
          <w:sz w:val="22"/>
          <w:szCs w:val="22"/>
          <w:lang w:val="en-US"/>
        </w:rPr>
        <w:t>all bone sarcoma patient</w:t>
      </w:r>
      <w:r w:rsidR="00D947B1" w:rsidRPr="00523960">
        <w:rPr>
          <w:sz w:val="22"/>
          <w:szCs w:val="22"/>
          <w:lang w:val="en-US"/>
        </w:rPr>
        <w:t xml:space="preserve">s </w:t>
      </w:r>
      <w:r w:rsidRPr="00523960">
        <w:rPr>
          <w:sz w:val="22"/>
          <w:szCs w:val="22"/>
          <w:lang w:val="en-US"/>
        </w:rPr>
        <w:t>beyond specific</w:t>
      </w:r>
      <w:r w:rsidR="00702681" w:rsidRPr="00523960">
        <w:rPr>
          <w:sz w:val="22"/>
          <w:szCs w:val="22"/>
          <w:lang w:val="en-US"/>
        </w:rPr>
        <w:t xml:space="preserve"> bone sarcoma types</w:t>
      </w:r>
      <w:r w:rsidR="007D3A6F">
        <w:rPr>
          <w:sz w:val="22"/>
          <w:szCs w:val="22"/>
          <w:lang w:val="en-US"/>
        </w:rPr>
        <w:t>,</w:t>
      </w:r>
      <w:r w:rsidR="0020395A" w:rsidRPr="00523960">
        <w:rPr>
          <w:sz w:val="22"/>
          <w:szCs w:val="22"/>
          <w:lang w:val="en-US"/>
        </w:rPr>
        <w:t xml:space="preserve"> to</w:t>
      </w:r>
      <w:r w:rsidR="00543A7D" w:rsidRPr="00523960">
        <w:rPr>
          <w:sz w:val="22"/>
          <w:szCs w:val="22"/>
          <w:lang w:val="en-US"/>
        </w:rPr>
        <w:t xml:space="preserve"> raise awareness about the burden of bone sarcomas and</w:t>
      </w:r>
      <w:r w:rsidR="0020395A" w:rsidRPr="00523960">
        <w:rPr>
          <w:sz w:val="22"/>
          <w:szCs w:val="22"/>
          <w:lang w:val="en-US"/>
        </w:rPr>
        <w:t xml:space="preserve"> tackle common </w:t>
      </w:r>
      <w:r w:rsidR="00DA41EE" w:rsidRPr="00523960">
        <w:rPr>
          <w:sz w:val="22"/>
          <w:szCs w:val="22"/>
          <w:lang w:val="en-US"/>
        </w:rPr>
        <w:t>issues</w:t>
      </w:r>
      <w:r w:rsidR="00887C81" w:rsidRPr="00523960">
        <w:rPr>
          <w:sz w:val="22"/>
          <w:szCs w:val="22"/>
          <w:lang w:val="en-US"/>
        </w:rPr>
        <w:t xml:space="preserve">. </w:t>
      </w:r>
      <w:r w:rsidR="0066759E" w:rsidRPr="00523960">
        <w:rPr>
          <w:sz w:val="22"/>
          <w:szCs w:val="22"/>
          <w:lang w:val="en-US"/>
        </w:rPr>
        <w:t>Sharing experiences is the first step to better identify common challenges and define priorities of action.</w:t>
      </w:r>
    </w:p>
    <w:p w14:paraId="1DD51E39" w14:textId="77777777" w:rsidR="009A44AE" w:rsidRPr="00523960" w:rsidRDefault="009A44AE" w:rsidP="00CA2610">
      <w:pPr>
        <w:pStyle w:val="Listenabsatz"/>
        <w:ind w:left="426" w:hanging="426"/>
        <w:rPr>
          <w:sz w:val="22"/>
          <w:szCs w:val="22"/>
          <w:lang w:val="en-US"/>
        </w:rPr>
      </w:pPr>
    </w:p>
    <w:p w14:paraId="3AA9C41B" w14:textId="2996F747" w:rsidR="009A44AE" w:rsidRPr="00523960" w:rsidRDefault="009A44AE" w:rsidP="00CA2610">
      <w:pPr>
        <w:pStyle w:val="Listenabsatz"/>
        <w:numPr>
          <w:ilvl w:val="0"/>
          <w:numId w:val="1"/>
        </w:numPr>
        <w:ind w:left="426" w:hanging="426"/>
        <w:jc w:val="both"/>
        <w:rPr>
          <w:sz w:val="22"/>
          <w:szCs w:val="22"/>
          <w:lang w:val="en-US"/>
        </w:rPr>
      </w:pPr>
      <w:r w:rsidRPr="00523960">
        <w:rPr>
          <w:sz w:val="22"/>
          <w:szCs w:val="22"/>
          <w:lang w:val="en-US"/>
        </w:rPr>
        <w:t xml:space="preserve">Members of the Bone Sarcoma Alliance align with the mission and vision of the Sarcoma Patient Advocacy Global Network and the mode of operation of the Bone Sarcoma Alliance </w:t>
      </w:r>
      <w:r w:rsidR="00800919" w:rsidRPr="00523960">
        <w:rPr>
          <w:sz w:val="22"/>
          <w:szCs w:val="22"/>
          <w:lang w:val="en-US"/>
        </w:rPr>
        <w:t>as well as</w:t>
      </w:r>
      <w:r w:rsidRPr="00523960">
        <w:rPr>
          <w:sz w:val="22"/>
          <w:szCs w:val="22"/>
          <w:lang w:val="en-US"/>
        </w:rPr>
        <w:t xml:space="preserve"> the major governance principles.</w:t>
      </w:r>
      <w:r w:rsidR="00800919" w:rsidRPr="00523960">
        <w:rPr>
          <w:sz w:val="22"/>
          <w:szCs w:val="22"/>
          <w:lang w:val="en-US"/>
        </w:rPr>
        <w:t xml:space="preserve"> </w:t>
      </w:r>
      <w:r w:rsidR="007D3A6F">
        <w:rPr>
          <w:sz w:val="22"/>
          <w:szCs w:val="22"/>
          <w:lang w:val="en-US"/>
        </w:rPr>
        <w:t>Exclusion</w:t>
      </w:r>
      <w:r w:rsidR="007D3A6F" w:rsidRPr="00523960">
        <w:rPr>
          <w:sz w:val="22"/>
          <w:szCs w:val="22"/>
          <w:lang w:val="en-US"/>
        </w:rPr>
        <w:t xml:space="preserve"> </w:t>
      </w:r>
      <w:r w:rsidRPr="00523960">
        <w:rPr>
          <w:sz w:val="22"/>
          <w:szCs w:val="22"/>
          <w:lang w:val="en-US"/>
        </w:rPr>
        <w:t xml:space="preserve">from the Bone Sarcoma Alliance is permissible only if there is an important reason. Such a reason can </w:t>
      </w:r>
      <w:r w:rsidR="00706DBD" w:rsidRPr="00523960">
        <w:rPr>
          <w:sz w:val="22"/>
          <w:szCs w:val="22"/>
          <w:lang w:val="en-US"/>
        </w:rPr>
        <w:t xml:space="preserve">be </w:t>
      </w:r>
      <w:r w:rsidRPr="00523960">
        <w:rPr>
          <w:sz w:val="22"/>
          <w:szCs w:val="22"/>
          <w:lang w:val="en-US"/>
        </w:rPr>
        <w:t xml:space="preserve">a serious breach of the interest of </w:t>
      </w:r>
      <w:r w:rsidR="00706DBD" w:rsidRPr="00523960">
        <w:rPr>
          <w:sz w:val="22"/>
          <w:szCs w:val="22"/>
          <w:lang w:val="en-US"/>
        </w:rPr>
        <w:t>SPAGN or the BSA o</w:t>
      </w:r>
      <w:r w:rsidRPr="00523960">
        <w:rPr>
          <w:sz w:val="22"/>
          <w:szCs w:val="22"/>
          <w:lang w:val="en-US"/>
        </w:rPr>
        <w:t xml:space="preserve">r the </w:t>
      </w:r>
      <w:r w:rsidR="00706DBD" w:rsidRPr="00523960">
        <w:rPr>
          <w:sz w:val="22"/>
          <w:szCs w:val="22"/>
          <w:lang w:val="en-US"/>
        </w:rPr>
        <w:t xml:space="preserve">SPAGN </w:t>
      </w:r>
      <w:r w:rsidRPr="00523960">
        <w:rPr>
          <w:sz w:val="22"/>
          <w:szCs w:val="22"/>
          <w:lang w:val="en-US"/>
        </w:rPr>
        <w:t>statutes on several occasions.</w:t>
      </w:r>
      <w:r w:rsidR="00800919" w:rsidRPr="00523960">
        <w:rPr>
          <w:sz w:val="22"/>
          <w:szCs w:val="22"/>
          <w:lang w:val="en-US"/>
        </w:rPr>
        <w:t xml:space="preserve"> </w:t>
      </w:r>
      <w:r w:rsidRPr="00523960">
        <w:rPr>
          <w:sz w:val="22"/>
          <w:szCs w:val="22"/>
          <w:lang w:val="en-US"/>
        </w:rPr>
        <w:t>Membership in the Bone Sarcoma Alliance is independent o</w:t>
      </w:r>
      <w:r w:rsidR="00706DBD" w:rsidRPr="00523960">
        <w:rPr>
          <w:sz w:val="22"/>
          <w:szCs w:val="22"/>
          <w:lang w:val="en-US"/>
        </w:rPr>
        <w:t>f</w:t>
      </w:r>
      <w:r w:rsidRPr="00523960">
        <w:rPr>
          <w:sz w:val="22"/>
          <w:szCs w:val="22"/>
          <w:lang w:val="en-US"/>
        </w:rPr>
        <w:t xml:space="preserve"> membership within SPAGN.</w:t>
      </w:r>
    </w:p>
    <w:p w14:paraId="1BC24F42" w14:textId="77777777" w:rsidR="00D947B1" w:rsidRPr="00523960" w:rsidRDefault="00D947B1" w:rsidP="00CA2610">
      <w:pPr>
        <w:pStyle w:val="Listenabsatz"/>
        <w:ind w:left="426" w:hanging="426"/>
        <w:rPr>
          <w:sz w:val="22"/>
          <w:szCs w:val="22"/>
          <w:lang w:val="en-US"/>
        </w:rPr>
      </w:pPr>
    </w:p>
    <w:p w14:paraId="04DFEAAE" w14:textId="0D2B4161" w:rsidR="00BE340D" w:rsidRPr="00523960" w:rsidRDefault="00BE340D" w:rsidP="00CA2610">
      <w:pPr>
        <w:pStyle w:val="Listenabsatz"/>
        <w:numPr>
          <w:ilvl w:val="0"/>
          <w:numId w:val="1"/>
        </w:numPr>
        <w:ind w:left="426" w:hanging="426"/>
        <w:jc w:val="both"/>
        <w:rPr>
          <w:sz w:val="22"/>
          <w:szCs w:val="22"/>
          <w:lang w:val="en-US"/>
        </w:rPr>
      </w:pPr>
      <w:r w:rsidRPr="00523960">
        <w:rPr>
          <w:sz w:val="22"/>
          <w:szCs w:val="22"/>
          <w:lang w:val="en-US"/>
        </w:rPr>
        <w:t xml:space="preserve">Its main mode of operation will be </w:t>
      </w:r>
      <w:r w:rsidRPr="00523960">
        <w:rPr>
          <w:i/>
          <w:iCs/>
          <w:sz w:val="22"/>
          <w:szCs w:val="22"/>
          <w:lang w:val="en-US"/>
        </w:rPr>
        <w:t>'working together as partner</w:t>
      </w:r>
      <w:r w:rsidRPr="00523960">
        <w:rPr>
          <w:sz w:val="22"/>
          <w:szCs w:val="22"/>
          <w:lang w:val="en-US"/>
        </w:rPr>
        <w:t>s' as part of the SPAGN umbrella. All partners that align with the BSA 'vision' and its overarching goals are welcome to join and</w:t>
      </w:r>
      <w:r w:rsidR="0066759E" w:rsidRPr="00523960">
        <w:rPr>
          <w:sz w:val="22"/>
          <w:szCs w:val="22"/>
          <w:lang w:val="en-US"/>
        </w:rPr>
        <w:t xml:space="preserve"> sign this document to</w:t>
      </w:r>
      <w:r w:rsidRPr="00523960">
        <w:rPr>
          <w:sz w:val="22"/>
          <w:szCs w:val="22"/>
          <w:lang w:val="en-US"/>
        </w:rPr>
        <w:t xml:space="preserve"> work together. </w:t>
      </w:r>
    </w:p>
    <w:p w14:paraId="76823B04" w14:textId="77777777" w:rsidR="00DE6781" w:rsidRPr="00523960" w:rsidRDefault="00DE6781" w:rsidP="00CA2610">
      <w:pPr>
        <w:pStyle w:val="Listenabsatz"/>
        <w:ind w:left="426" w:hanging="426"/>
        <w:rPr>
          <w:sz w:val="22"/>
          <w:szCs w:val="22"/>
          <w:lang w:val="en-US"/>
        </w:rPr>
      </w:pPr>
    </w:p>
    <w:p w14:paraId="1C676C7C" w14:textId="1CBB3D75" w:rsidR="009B43E3" w:rsidRPr="00523960" w:rsidRDefault="00DE6781" w:rsidP="00CA2610">
      <w:pPr>
        <w:pStyle w:val="Listenabsatz"/>
        <w:numPr>
          <w:ilvl w:val="0"/>
          <w:numId w:val="1"/>
        </w:numPr>
        <w:ind w:left="426" w:hanging="426"/>
        <w:jc w:val="both"/>
        <w:rPr>
          <w:sz w:val="22"/>
          <w:szCs w:val="22"/>
          <w:lang w:val="en-US"/>
        </w:rPr>
      </w:pPr>
      <w:r w:rsidRPr="00523960">
        <w:rPr>
          <w:sz w:val="22"/>
          <w:szCs w:val="22"/>
          <w:lang w:val="en-US"/>
        </w:rPr>
        <w:t>In order to ensure equal and fair representation, all decisions will be taken democratically.</w:t>
      </w:r>
      <w:r w:rsidR="0044705E" w:rsidRPr="00523960">
        <w:rPr>
          <w:sz w:val="22"/>
          <w:szCs w:val="22"/>
          <w:lang w:val="en-US"/>
        </w:rPr>
        <w:t xml:space="preserve"> All decisions are based on majority-voting system and always taken in a fully transparent way. </w:t>
      </w:r>
      <w:r w:rsidR="008444E4" w:rsidRPr="00523960">
        <w:rPr>
          <w:sz w:val="22"/>
          <w:szCs w:val="22"/>
          <w:lang w:val="en-US"/>
        </w:rPr>
        <w:t xml:space="preserve">All decisions require a </w:t>
      </w:r>
      <w:r w:rsidR="00905AC7" w:rsidRPr="00523960">
        <w:rPr>
          <w:sz w:val="22"/>
          <w:szCs w:val="22"/>
          <w:lang w:val="en-US"/>
        </w:rPr>
        <w:t xml:space="preserve">simple </w:t>
      </w:r>
      <w:r w:rsidR="008444E4" w:rsidRPr="00523960">
        <w:rPr>
          <w:sz w:val="22"/>
          <w:szCs w:val="22"/>
          <w:lang w:val="en-US"/>
        </w:rPr>
        <w:t>majority of the member partners</w:t>
      </w:r>
      <w:r w:rsidR="00905AC7" w:rsidRPr="00523960">
        <w:rPr>
          <w:sz w:val="22"/>
          <w:szCs w:val="22"/>
          <w:lang w:val="en-US"/>
        </w:rPr>
        <w:t xml:space="preserve"> present at the meeting</w:t>
      </w:r>
      <w:r w:rsidR="008444E4" w:rsidRPr="00523960">
        <w:rPr>
          <w:sz w:val="22"/>
          <w:szCs w:val="22"/>
          <w:lang w:val="en-US"/>
        </w:rPr>
        <w:t xml:space="preserve">. Each partner has one vote. </w:t>
      </w:r>
      <w:r w:rsidR="009B43E3" w:rsidRPr="00523960">
        <w:rPr>
          <w:sz w:val="22"/>
          <w:szCs w:val="22"/>
          <w:lang w:val="en-US"/>
        </w:rPr>
        <w:t xml:space="preserve">This applies to </w:t>
      </w:r>
      <w:r w:rsidR="00A90675" w:rsidRPr="00523960">
        <w:rPr>
          <w:sz w:val="22"/>
          <w:szCs w:val="22"/>
          <w:lang w:val="en-US"/>
        </w:rPr>
        <w:t>all</w:t>
      </w:r>
      <w:r w:rsidR="009B43E3" w:rsidRPr="00523960">
        <w:rPr>
          <w:sz w:val="22"/>
          <w:szCs w:val="22"/>
          <w:lang w:val="en-US"/>
        </w:rPr>
        <w:t xml:space="preserve"> decisions taken by any working/project group created by the partnership.</w:t>
      </w:r>
    </w:p>
    <w:p w14:paraId="7DF68D3C" w14:textId="6AF4F2FC" w:rsidR="00523960" w:rsidRDefault="00523960" w:rsidP="00CA2610">
      <w:pPr>
        <w:ind w:left="426" w:hanging="426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page"/>
      </w:r>
    </w:p>
    <w:p w14:paraId="723A7B01" w14:textId="3DC51487" w:rsidR="009B43E3" w:rsidRPr="001C6D15" w:rsidRDefault="008444E4" w:rsidP="00CA2610">
      <w:pPr>
        <w:pStyle w:val="Listenabsatz"/>
        <w:numPr>
          <w:ilvl w:val="0"/>
          <w:numId w:val="1"/>
        </w:numPr>
        <w:ind w:left="426" w:hanging="426"/>
        <w:jc w:val="both"/>
        <w:rPr>
          <w:sz w:val="22"/>
          <w:szCs w:val="22"/>
          <w:lang w:val="en-US"/>
        </w:rPr>
      </w:pPr>
      <w:r w:rsidRPr="001C6D15">
        <w:rPr>
          <w:sz w:val="22"/>
          <w:szCs w:val="22"/>
          <w:lang w:val="en-US"/>
        </w:rPr>
        <w:t>A</w:t>
      </w:r>
      <w:r w:rsidR="0044705E" w:rsidRPr="001C6D15">
        <w:rPr>
          <w:sz w:val="22"/>
          <w:szCs w:val="22"/>
          <w:lang w:val="en-US"/>
        </w:rPr>
        <w:t xml:space="preserve"> Steering Committee oversees the overall scope of the initiative and provides guidance.</w:t>
      </w:r>
      <w:r w:rsidR="001C6D15" w:rsidRPr="001C6D15">
        <w:rPr>
          <w:sz w:val="22"/>
          <w:szCs w:val="22"/>
          <w:lang w:val="en-US"/>
        </w:rPr>
        <w:t xml:space="preserve"> </w:t>
      </w:r>
      <w:r w:rsidR="0044705E" w:rsidRPr="001C6D15">
        <w:rPr>
          <w:sz w:val="22"/>
          <w:szCs w:val="22"/>
          <w:lang w:val="en-US"/>
        </w:rPr>
        <w:t>The</w:t>
      </w:r>
      <w:r w:rsidR="00BE340D" w:rsidRPr="001C6D15">
        <w:rPr>
          <w:sz w:val="22"/>
          <w:szCs w:val="22"/>
          <w:lang w:val="en-US"/>
        </w:rPr>
        <w:t xml:space="preserve"> steering committee</w:t>
      </w:r>
      <w:r w:rsidR="00F22B7B" w:rsidRPr="001C6D15">
        <w:rPr>
          <w:sz w:val="22"/>
          <w:szCs w:val="22"/>
          <w:lang w:val="en-US"/>
        </w:rPr>
        <w:t xml:space="preserve"> (SC)</w:t>
      </w:r>
      <w:r w:rsidR="0044705E" w:rsidRPr="001C6D15">
        <w:rPr>
          <w:sz w:val="22"/>
          <w:szCs w:val="22"/>
          <w:lang w:val="en-US"/>
        </w:rPr>
        <w:t xml:space="preserve"> is </w:t>
      </w:r>
      <w:r w:rsidR="00F22B7B" w:rsidRPr="001C6D15">
        <w:rPr>
          <w:sz w:val="22"/>
          <w:szCs w:val="22"/>
          <w:lang w:val="en-US"/>
        </w:rPr>
        <w:t xml:space="preserve">composed </w:t>
      </w:r>
      <w:r w:rsidR="007D3A6F" w:rsidRPr="001C6D15">
        <w:rPr>
          <w:sz w:val="22"/>
          <w:szCs w:val="22"/>
          <w:lang w:val="en-US"/>
        </w:rPr>
        <w:t xml:space="preserve">of </w:t>
      </w:r>
      <w:r w:rsidR="00F22B7B" w:rsidRPr="001C6D15">
        <w:rPr>
          <w:sz w:val="22"/>
          <w:szCs w:val="22"/>
          <w:lang w:val="en-US"/>
        </w:rPr>
        <w:t>3</w:t>
      </w:r>
      <w:r w:rsidR="001C6D15" w:rsidRPr="001C6D15">
        <w:rPr>
          <w:sz w:val="22"/>
          <w:szCs w:val="22"/>
          <w:lang w:val="en-US"/>
        </w:rPr>
        <w:t>-</w:t>
      </w:r>
      <w:r w:rsidR="007D3A6F" w:rsidRPr="001C6D15">
        <w:rPr>
          <w:sz w:val="22"/>
          <w:szCs w:val="22"/>
          <w:lang w:val="en-US"/>
        </w:rPr>
        <w:t>4</w:t>
      </w:r>
      <w:r w:rsidR="00F22B7B" w:rsidRPr="001C6D15">
        <w:rPr>
          <w:sz w:val="22"/>
          <w:szCs w:val="22"/>
          <w:lang w:val="en-US"/>
        </w:rPr>
        <w:t xml:space="preserve"> members</w:t>
      </w:r>
      <w:r w:rsidR="00BE340D" w:rsidRPr="001C6D15">
        <w:rPr>
          <w:sz w:val="22"/>
          <w:szCs w:val="22"/>
          <w:lang w:val="en-US"/>
        </w:rPr>
        <w:t xml:space="preserve"> </w:t>
      </w:r>
      <w:r w:rsidR="0044705E" w:rsidRPr="001C6D15">
        <w:rPr>
          <w:sz w:val="22"/>
          <w:szCs w:val="22"/>
          <w:lang w:val="en-US"/>
        </w:rPr>
        <w:t xml:space="preserve">always </w:t>
      </w:r>
      <w:r w:rsidR="00BE340D" w:rsidRPr="001C6D15">
        <w:rPr>
          <w:sz w:val="22"/>
          <w:szCs w:val="22"/>
          <w:lang w:val="en-US"/>
        </w:rPr>
        <w:t xml:space="preserve">including </w:t>
      </w:r>
      <w:r w:rsidR="0044705E" w:rsidRPr="001C6D15">
        <w:rPr>
          <w:sz w:val="22"/>
          <w:szCs w:val="22"/>
          <w:lang w:val="en-US"/>
        </w:rPr>
        <w:t xml:space="preserve">a </w:t>
      </w:r>
      <w:r w:rsidR="00BE340D" w:rsidRPr="001C6D15">
        <w:rPr>
          <w:sz w:val="22"/>
          <w:szCs w:val="22"/>
          <w:lang w:val="en-US"/>
        </w:rPr>
        <w:t>SPAGN representative</w:t>
      </w:r>
      <w:r w:rsidR="0044705E" w:rsidRPr="001C6D15">
        <w:rPr>
          <w:sz w:val="22"/>
          <w:szCs w:val="22"/>
          <w:lang w:val="en-US"/>
        </w:rPr>
        <w:t xml:space="preserve">. </w:t>
      </w:r>
      <w:r w:rsidR="00B97D11" w:rsidRPr="001C6D15">
        <w:rPr>
          <w:sz w:val="22"/>
          <w:szCs w:val="22"/>
          <w:lang w:val="en-US"/>
        </w:rPr>
        <w:t>SC members serve for 2 years and can be renewed by the members of BSA.</w:t>
      </w:r>
    </w:p>
    <w:p w14:paraId="1B31B6A0" w14:textId="77777777" w:rsidR="00B97D11" w:rsidRPr="00523960" w:rsidRDefault="00B97D11" w:rsidP="00CA2610">
      <w:pPr>
        <w:pStyle w:val="Listenabsatz"/>
        <w:ind w:left="426" w:hanging="426"/>
        <w:jc w:val="both"/>
        <w:rPr>
          <w:sz w:val="22"/>
          <w:szCs w:val="22"/>
          <w:lang w:val="en-US"/>
        </w:rPr>
      </w:pPr>
    </w:p>
    <w:p w14:paraId="0A79392B" w14:textId="6A62BA3D" w:rsidR="009B43E3" w:rsidRPr="00523960" w:rsidRDefault="009B43E3" w:rsidP="00CA2610">
      <w:pPr>
        <w:pStyle w:val="Listenabsatz"/>
        <w:numPr>
          <w:ilvl w:val="0"/>
          <w:numId w:val="1"/>
        </w:numPr>
        <w:ind w:left="426" w:hanging="426"/>
        <w:jc w:val="both"/>
        <w:rPr>
          <w:sz w:val="22"/>
          <w:szCs w:val="22"/>
          <w:lang w:val="en-US"/>
        </w:rPr>
      </w:pPr>
      <w:r w:rsidRPr="00523960">
        <w:rPr>
          <w:sz w:val="22"/>
          <w:szCs w:val="22"/>
          <w:lang w:val="en-US"/>
        </w:rPr>
        <w:t xml:space="preserve">For new projects, project leaders can be selected according to knowledge and expertise </w:t>
      </w:r>
      <w:r w:rsidR="00A90675" w:rsidRPr="00523960">
        <w:rPr>
          <w:sz w:val="22"/>
          <w:szCs w:val="22"/>
          <w:lang w:val="en-US"/>
        </w:rPr>
        <w:t>regardless</w:t>
      </w:r>
      <w:r w:rsidRPr="00523960">
        <w:rPr>
          <w:sz w:val="22"/>
          <w:szCs w:val="22"/>
          <w:lang w:val="en-US"/>
        </w:rPr>
        <w:t xml:space="preserve"> of the SC.</w:t>
      </w:r>
    </w:p>
    <w:p w14:paraId="07D701FB" w14:textId="77777777" w:rsidR="009B43E3" w:rsidRPr="00523960" w:rsidRDefault="009B43E3" w:rsidP="00CA2610">
      <w:pPr>
        <w:pStyle w:val="Listenabsatz"/>
        <w:ind w:left="426" w:hanging="426"/>
        <w:jc w:val="both"/>
        <w:rPr>
          <w:sz w:val="22"/>
          <w:szCs w:val="22"/>
          <w:lang w:val="en-US"/>
        </w:rPr>
      </w:pPr>
    </w:p>
    <w:p w14:paraId="61BCEE75" w14:textId="77777777" w:rsidR="009B43E3" w:rsidRPr="00523960" w:rsidRDefault="005B205C" w:rsidP="00CA2610">
      <w:pPr>
        <w:pStyle w:val="Listenabsatz"/>
        <w:numPr>
          <w:ilvl w:val="0"/>
          <w:numId w:val="1"/>
        </w:numPr>
        <w:ind w:left="426" w:hanging="426"/>
        <w:jc w:val="both"/>
        <w:rPr>
          <w:sz w:val="22"/>
          <w:szCs w:val="22"/>
          <w:lang w:val="en-US"/>
        </w:rPr>
      </w:pPr>
      <w:r w:rsidRPr="00523960">
        <w:rPr>
          <w:sz w:val="22"/>
          <w:szCs w:val="22"/>
          <w:lang w:val="en-US"/>
        </w:rPr>
        <w:t>SPAGN</w:t>
      </w:r>
      <w:r w:rsidR="00F44595" w:rsidRPr="00523960">
        <w:rPr>
          <w:sz w:val="22"/>
          <w:szCs w:val="22"/>
          <w:lang w:val="en-US"/>
        </w:rPr>
        <w:t xml:space="preserve"> creates a BSA site on its website,</w:t>
      </w:r>
      <w:r w:rsidR="0044705E" w:rsidRPr="00523960">
        <w:rPr>
          <w:sz w:val="22"/>
          <w:szCs w:val="22"/>
          <w:lang w:val="en-US"/>
        </w:rPr>
        <w:t xml:space="preserve"> </w:t>
      </w:r>
      <w:r w:rsidRPr="00523960">
        <w:rPr>
          <w:sz w:val="22"/>
          <w:szCs w:val="22"/>
          <w:lang w:val="en-US"/>
        </w:rPr>
        <w:t>promotes relationships through its global network, provides a central point of contact, serves as administrative support</w:t>
      </w:r>
      <w:r w:rsidR="00DC4ECE" w:rsidRPr="00523960">
        <w:rPr>
          <w:sz w:val="22"/>
          <w:szCs w:val="22"/>
          <w:lang w:val="en-US"/>
        </w:rPr>
        <w:t xml:space="preserve"> and sets up a shared drive to upload relevant documents and publications.</w:t>
      </w:r>
    </w:p>
    <w:p w14:paraId="44156A1F" w14:textId="77777777" w:rsidR="009B43E3" w:rsidRPr="00523960" w:rsidRDefault="009B43E3" w:rsidP="00CA2610">
      <w:pPr>
        <w:pStyle w:val="Listenabsatz"/>
        <w:ind w:left="426" w:hanging="426"/>
        <w:jc w:val="both"/>
        <w:rPr>
          <w:sz w:val="22"/>
          <w:szCs w:val="22"/>
          <w:lang w:val="en-US"/>
        </w:rPr>
      </w:pPr>
    </w:p>
    <w:p w14:paraId="76F0F3F3" w14:textId="796F94DB" w:rsidR="005F73DD" w:rsidRPr="001C6D15" w:rsidRDefault="005F73DD" w:rsidP="00CA2610">
      <w:pPr>
        <w:pStyle w:val="Listenabsatz"/>
        <w:numPr>
          <w:ilvl w:val="0"/>
          <w:numId w:val="1"/>
        </w:numPr>
        <w:ind w:left="426" w:hanging="426"/>
        <w:jc w:val="both"/>
        <w:rPr>
          <w:sz w:val="22"/>
          <w:szCs w:val="22"/>
          <w:lang w:val="en-US"/>
        </w:rPr>
      </w:pPr>
      <w:r w:rsidRPr="001C6D15">
        <w:rPr>
          <w:sz w:val="22"/>
          <w:szCs w:val="22"/>
          <w:lang w:val="en-US"/>
        </w:rPr>
        <w:t xml:space="preserve">Regular meetings, set by SPAGN, are scheduled every two months. </w:t>
      </w:r>
      <w:r w:rsidR="001C6D15" w:rsidRPr="009D2B2B">
        <w:rPr>
          <w:sz w:val="22"/>
          <w:szCs w:val="22"/>
          <w:lang w:val="en-US"/>
        </w:rPr>
        <w:t>Duri</w:t>
      </w:r>
      <w:r w:rsidR="001C6D15" w:rsidRPr="001C6D15">
        <w:rPr>
          <w:sz w:val="22"/>
          <w:szCs w:val="22"/>
          <w:lang w:val="en-US"/>
        </w:rPr>
        <w:t xml:space="preserve">ng </w:t>
      </w:r>
      <w:r w:rsidR="001C6D15" w:rsidRPr="001C6D15">
        <w:rPr>
          <w:sz w:val="22"/>
          <w:szCs w:val="22"/>
          <w:lang w:val="en-US"/>
        </w:rPr>
        <w:t xml:space="preserve">all meetings at least one </w:t>
      </w:r>
      <w:r w:rsidR="001C6D15" w:rsidRPr="001C6D15">
        <w:rPr>
          <w:sz w:val="22"/>
          <w:szCs w:val="22"/>
          <w:lang w:val="en-US"/>
        </w:rPr>
        <w:t xml:space="preserve">member </w:t>
      </w:r>
      <w:r w:rsidR="001C6D15" w:rsidRPr="001C6D15">
        <w:rPr>
          <w:sz w:val="22"/>
          <w:szCs w:val="22"/>
          <w:lang w:val="en-US"/>
        </w:rPr>
        <w:t xml:space="preserve">of the steering committee </w:t>
      </w:r>
      <w:r w:rsidR="001C6D15" w:rsidRPr="001C6D15">
        <w:rPr>
          <w:sz w:val="22"/>
          <w:szCs w:val="22"/>
          <w:lang w:val="en-US"/>
        </w:rPr>
        <w:t xml:space="preserve">needs to be </w:t>
      </w:r>
      <w:r w:rsidR="001C6D15" w:rsidRPr="001C6D15">
        <w:rPr>
          <w:sz w:val="22"/>
          <w:szCs w:val="22"/>
          <w:lang w:val="en-US"/>
        </w:rPr>
        <w:t>present</w:t>
      </w:r>
      <w:r w:rsidR="001C6D15" w:rsidRPr="001C6D15">
        <w:rPr>
          <w:sz w:val="22"/>
          <w:szCs w:val="22"/>
          <w:lang w:val="en-US"/>
        </w:rPr>
        <w:t xml:space="preserve">. </w:t>
      </w:r>
      <w:r w:rsidRPr="001C6D15">
        <w:rPr>
          <w:sz w:val="22"/>
          <w:szCs w:val="22"/>
          <w:lang w:val="en-US"/>
        </w:rPr>
        <w:t xml:space="preserve">Each meeting </w:t>
      </w:r>
      <w:r w:rsidR="00656B7D" w:rsidRPr="001C6D15">
        <w:rPr>
          <w:sz w:val="22"/>
          <w:szCs w:val="22"/>
          <w:lang w:val="en-US"/>
        </w:rPr>
        <w:t>will be recorded. Two attendees will be selected for a period of three months to share duty of minute keeping and send out reminders for meetings.</w:t>
      </w:r>
    </w:p>
    <w:p w14:paraId="365C0509" w14:textId="0339F833" w:rsidR="009B43E3" w:rsidRPr="00523960" w:rsidRDefault="009B43E3">
      <w:pPr>
        <w:rPr>
          <w:sz w:val="22"/>
          <w:szCs w:val="22"/>
          <w:lang w:val="en-US"/>
        </w:rPr>
      </w:pPr>
    </w:p>
    <w:p w14:paraId="61F36C68" w14:textId="77777777" w:rsidR="009B43E3" w:rsidRDefault="009B43E3">
      <w:pPr>
        <w:rPr>
          <w:sz w:val="22"/>
          <w:szCs w:val="22"/>
          <w:lang w:val="en-US"/>
        </w:rPr>
      </w:pPr>
    </w:p>
    <w:p w14:paraId="42C58094" w14:textId="77777777" w:rsidR="00523960" w:rsidRPr="00523960" w:rsidRDefault="00523960">
      <w:pPr>
        <w:rPr>
          <w:sz w:val="22"/>
          <w:szCs w:val="22"/>
          <w:lang w:val="en-US"/>
        </w:rPr>
      </w:pPr>
    </w:p>
    <w:p w14:paraId="416E464C" w14:textId="49C55D98" w:rsidR="0066759E" w:rsidRPr="00523960" w:rsidRDefault="0066759E">
      <w:pPr>
        <w:rPr>
          <w:b/>
          <w:bCs/>
          <w:color w:val="0070C0"/>
          <w:sz w:val="22"/>
          <w:szCs w:val="22"/>
          <w:lang w:val="en-US"/>
        </w:rPr>
      </w:pPr>
      <w:r w:rsidRPr="00523960">
        <w:rPr>
          <w:b/>
          <w:bCs/>
          <w:color w:val="0070C0"/>
          <w:sz w:val="22"/>
          <w:szCs w:val="22"/>
          <w:lang w:val="en-US"/>
        </w:rPr>
        <w:t>OUR MAJOR GOVERNANCE PRINCIPLES</w:t>
      </w:r>
    </w:p>
    <w:p w14:paraId="33A46856" w14:textId="45437618" w:rsidR="0041300B" w:rsidRPr="00523960" w:rsidRDefault="0041300B">
      <w:pPr>
        <w:rPr>
          <w:b/>
          <w:bCs/>
          <w:color w:val="0070C0"/>
          <w:sz w:val="22"/>
          <w:szCs w:val="22"/>
          <w:lang w:val="en-US"/>
        </w:rPr>
      </w:pPr>
    </w:p>
    <w:p w14:paraId="2562CC5A" w14:textId="60E2BB72" w:rsidR="003F26FA" w:rsidRPr="00523960" w:rsidRDefault="0041300B">
      <w:pPr>
        <w:rPr>
          <w:sz w:val="22"/>
          <w:szCs w:val="22"/>
          <w:lang w:val="en-US"/>
        </w:rPr>
      </w:pPr>
      <w:r w:rsidRPr="00523960">
        <w:rPr>
          <w:sz w:val="22"/>
          <w:szCs w:val="22"/>
          <w:lang w:val="en-US"/>
        </w:rPr>
        <w:t>Our overarching guiding principles to ensure commitment, integrity and accountability</w:t>
      </w:r>
      <w:r w:rsidR="002510AD" w:rsidRPr="00523960">
        <w:rPr>
          <w:sz w:val="22"/>
          <w:szCs w:val="22"/>
          <w:lang w:val="en-US"/>
        </w:rPr>
        <w:t>.</w:t>
      </w:r>
    </w:p>
    <w:p w14:paraId="753DEC7D" w14:textId="77777777" w:rsidR="002510AD" w:rsidRPr="00523960" w:rsidRDefault="002510AD">
      <w:pPr>
        <w:rPr>
          <w:sz w:val="22"/>
          <w:szCs w:val="22"/>
          <w:lang w:val="en-US"/>
        </w:rPr>
      </w:pPr>
    </w:p>
    <w:p w14:paraId="48857B99" w14:textId="6BF64829" w:rsidR="003F26FA" w:rsidRPr="00523960" w:rsidRDefault="003F26FA" w:rsidP="001D7515">
      <w:pPr>
        <w:pStyle w:val="Listenabsatz"/>
        <w:numPr>
          <w:ilvl w:val="0"/>
          <w:numId w:val="2"/>
        </w:numPr>
        <w:rPr>
          <w:sz w:val="22"/>
          <w:szCs w:val="22"/>
          <w:lang w:val="en-US"/>
        </w:rPr>
      </w:pPr>
      <w:r w:rsidRPr="00523960">
        <w:rPr>
          <w:sz w:val="22"/>
          <w:szCs w:val="22"/>
          <w:lang w:val="en-US"/>
        </w:rPr>
        <w:t>Working together as partners</w:t>
      </w:r>
    </w:p>
    <w:p w14:paraId="1F9FB59C" w14:textId="45764D47" w:rsidR="001D7515" w:rsidRPr="00523960" w:rsidRDefault="001D7515" w:rsidP="001D7515">
      <w:pPr>
        <w:pStyle w:val="Listenabsatz"/>
        <w:numPr>
          <w:ilvl w:val="0"/>
          <w:numId w:val="2"/>
        </w:numPr>
        <w:rPr>
          <w:sz w:val="22"/>
          <w:szCs w:val="22"/>
          <w:lang w:val="en-US"/>
        </w:rPr>
      </w:pPr>
      <w:r w:rsidRPr="00523960">
        <w:rPr>
          <w:sz w:val="22"/>
          <w:szCs w:val="22"/>
          <w:lang w:val="en-US"/>
        </w:rPr>
        <w:t>Shared values</w:t>
      </w:r>
    </w:p>
    <w:p w14:paraId="5F8C5236" w14:textId="77777777" w:rsidR="001D7515" w:rsidRPr="00523960" w:rsidRDefault="001D7515" w:rsidP="001D7515">
      <w:pPr>
        <w:pStyle w:val="Listenabsatz"/>
        <w:numPr>
          <w:ilvl w:val="0"/>
          <w:numId w:val="2"/>
        </w:numPr>
        <w:rPr>
          <w:sz w:val="22"/>
          <w:szCs w:val="22"/>
          <w:lang w:val="en-US"/>
        </w:rPr>
      </w:pPr>
      <w:r w:rsidRPr="00523960">
        <w:rPr>
          <w:sz w:val="22"/>
          <w:szCs w:val="22"/>
          <w:lang w:val="en-US"/>
        </w:rPr>
        <w:t>Global inclusivity</w:t>
      </w:r>
    </w:p>
    <w:p w14:paraId="703FFF2F" w14:textId="253ABC95" w:rsidR="00F776E3" w:rsidRPr="00523960" w:rsidRDefault="00F776E3" w:rsidP="001D7515">
      <w:pPr>
        <w:pStyle w:val="Listenabsatz"/>
        <w:numPr>
          <w:ilvl w:val="0"/>
          <w:numId w:val="2"/>
        </w:numPr>
        <w:rPr>
          <w:sz w:val="22"/>
          <w:szCs w:val="22"/>
          <w:lang w:val="en-US"/>
        </w:rPr>
      </w:pPr>
      <w:r w:rsidRPr="00523960">
        <w:rPr>
          <w:sz w:val="22"/>
          <w:szCs w:val="22"/>
          <w:lang w:val="en-US"/>
        </w:rPr>
        <w:t>Equal representation and equal say</w:t>
      </w:r>
    </w:p>
    <w:p w14:paraId="08C2511A" w14:textId="03D4CB83" w:rsidR="001D7515" w:rsidRPr="00523960" w:rsidRDefault="001D7515" w:rsidP="001D7515">
      <w:pPr>
        <w:pStyle w:val="Listenabsatz"/>
        <w:numPr>
          <w:ilvl w:val="0"/>
          <w:numId w:val="2"/>
        </w:numPr>
        <w:rPr>
          <w:sz w:val="22"/>
          <w:szCs w:val="22"/>
          <w:lang w:val="en-US"/>
        </w:rPr>
      </w:pPr>
      <w:r w:rsidRPr="00523960">
        <w:rPr>
          <w:sz w:val="22"/>
          <w:szCs w:val="22"/>
          <w:lang w:val="en-US"/>
        </w:rPr>
        <w:t>Transparency</w:t>
      </w:r>
    </w:p>
    <w:p w14:paraId="159010B2" w14:textId="2D6206F5" w:rsidR="009B43E3" w:rsidRDefault="009B43E3" w:rsidP="009B43E3">
      <w:pPr>
        <w:rPr>
          <w:sz w:val="22"/>
          <w:szCs w:val="22"/>
          <w:lang w:val="en-US"/>
        </w:rPr>
      </w:pPr>
    </w:p>
    <w:p w14:paraId="00006CB5" w14:textId="77777777" w:rsidR="00523960" w:rsidRPr="00523960" w:rsidRDefault="00523960" w:rsidP="009B43E3">
      <w:pPr>
        <w:rPr>
          <w:sz w:val="22"/>
          <w:szCs w:val="22"/>
          <w:lang w:val="en-US"/>
        </w:rPr>
      </w:pPr>
    </w:p>
    <w:p w14:paraId="24B1AC43" w14:textId="77777777" w:rsidR="009B43E3" w:rsidRPr="00523960" w:rsidRDefault="009B43E3" w:rsidP="009B43E3">
      <w:pPr>
        <w:rPr>
          <w:sz w:val="22"/>
          <w:szCs w:val="22"/>
          <w:lang w:val="en-US"/>
        </w:rPr>
      </w:pPr>
    </w:p>
    <w:p w14:paraId="5961673C" w14:textId="4F34C5EB" w:rsidR="001D7515" w:rsidRPr="00523960" w:rsidRDefault="00E85CDD" w:rsidP="00E85CDD">
      <w:pPr>
        <w:rPr>
          <w:b/>
          <w:bCs/>
          <w:color w:val="0070C0"/>
          <w:sz w:val="22"/>
          <w:szCs w:val="22"/>
          <w:lang w:val="en-US"/>
        </w:rPr>
      </w:pPr>
      <w:r w:rsidRPr="00523960">
        <w:rPr>
          <w:b/>
          <w:bCs/>
          <w:color w:val="0070C0"/>
          <w:sz w:val="22"/>
          <w:szCs w:val="22"/>
          <w:lang w:val="en-US"/>
        </w:rPr>
        <w:t>OUR CURRENT STEERING COMMITTEE:</w:t>
      </w:r>
    </w:p>
    <w:p w14:paraId="3699B16C" w14:textId="41384909" w:rsidR="00E85CDD" w:rsidRPr="00523960" w:rsidRDefault="00E85CDD" w:rsidP="00E85CDD">
      <w:pPr>
        <w:rPr>
          <w:sz w:val="22"/>
          <w:szCs w:val="22"/>
          <w:lang w:val="en-US"/>
        </w:rPr>
      </w:pPr>
    </w:p>
    <w:p w14:paraId="2756BF14" w14:textId="5DFCB944" w:rsidR="00E85CDD" w:rsidRPr="00523960" w:rsidRDefault="00E85CDD" w:rsidP="00905AC7">
      <w:pPr>
        <w:pStyle w:val="Listenabsatz"/>
        <w:numPr>
          <w:ilvl w:val="0"/>
          <w:numId w:val="4"/>
        </w:numPr>
        <w:rPr>
          <w:sz w:val="22"/>
          <w:szCs w:val="22"/>
        </w:rPr>
      </w:pPr>
      <w:r w:rsidRPr="00523960">
        <w:rPr>
          <w:sz w:val="22"/>
          <w:szCs w:val="22"/>
        </w:rPr>
        <w:t>Ornella Gonzato, Sarcoma Patient Advocacy Global Network</w:t>
      </w:r>
      <w:r w:rsidR="00905AC7" w:rsidRPr="00523960">
        <w:rPr>
          <w:sz w:val="22"/>
          <w:szCs w:val="22"/>
        </w:rPr>
        <w:t xml:space="preserve"> &amp; </w:t>
      </w:r>
      <w:r w:rsidR="00905AC7" w:rsidRPr="00523960">
        <w:rPr>
          <w:sz w:val="22"/>
          <w:szCs w:val="22"/>
        </w:rPr>
        <w:br/>
        <w:t>Fondazione Paola Gonzato-Rete Sarcoma ETS</w:t>
      </w:r>
    </w:p>
    <w:p w14:paraId="7E5D5D91" w14:textId="15C15CBE" w:rsidR="00E85CDD" w:rsidRPr="00523960" w:rsidRDefault="00E85CDD" w:rsidP="00905AC7">
      <w:pPr>
        <w:pStyle w:val="Listenabsatz"/>
        <w:numPr>
          <w:ilvl w:val="0"/>
          <w:numId w:val="4"/>
        </w:numPr>
        <w:rPr>
          <w:sz w:val="22"/>
          <w:szCs w:val="22"/>
          <w:lang w:val="en-US"/>
        </w:rPr>
      </w:pPr>
      <w:r w:rsidRPr="00523960">
        <w:rPr>
          <w:sz w:val="22"/>
          <w:szCs w:val="22"/>
          <w:lang w:val="en-US"/>
        </w:rPr>
        <w:t>Pan Pantziarka, FOSTER Patient/Parent Working Group</w:t>
      </w:r>
      <w:r w:rsidR="00514F06" w:rsidRPr="00523960">
        <w:rPr>
          <w:sz w:val="22"/>
          <w:szCs w:val="22"/>
          <w:lang w:val="en-US"/>
        </w:rPr>
        <w:t xml:space="preserve"> &amp; </w:t>
      </w:r>
      <w:r w:rsidR="00CA20FF">
        <w:rPr>
          <w:sz w:val="22"/>
          <w:szCs w:val="22"/>
          <w:lang w:val="en-US"/>
        </w:rPr>
        <w:br/>
      </w:r>
      <w:r w:rsidR="00514F06" w:rsidRPr="00523960">
        <w:rPr>
          <w:sz w:val="22"/>
          <w:szCs w:val="22"/>
        </w:rPr>
        <w:t>George Pantziarka TP53 Trust</w:t>
      </w:r>
    </w:p>
    <w:p w14:paraId="4CEF30DE" w14:textId="0D31C466" w:rsidR="00E85CDD" w:rsidRPr="00523960" w:rsidRDefault="00E85CDD" w:rsidP="00905AC7">
      <w:pPr>
        <w:pStyle w:val="Listenabsatz"/>
        <w:numPr>
          <w:ilvl w:val="0"/>
          <w:numId w:val="4"/>
        </w:numPr>
        <w:rPr>
          <w:sz w:val="22"/>
          <w:szCs w:val="22"/>
          <w:lang w:val="en-US"/>
        </w:rPr>
      </w:pPr>
      <w:r w:rsidRPr="00523960">
        <w:rPr>
          <w:sz w:val="22"/>
          <w:szCs w:val="22"/>
          <w:lang w:val="en-US"/>
        </w:rPr>
        <w:t xml:space="preserve">Zoe Davison, Bone Cancer Research Trust (BCRT) </w:t>
      </w:r>
    </w:p>
    <w:p w14:paraId="1EE213A2" w14:textId="77777777" w:rsidR="00E85CDD" w:rsidRDefault="00E85CDD" w:rsidP="00E85CDD">
      <w:pPr>
        <w:rPr>
          <w:sz w:val="22"/>
          <w:szCs w:val="22"/>
          <w:lang w:val="en-US"/>
        </w:rPr>
      </w:pPr>
    </w:p>
    <w:p w14:paraId="0A880F0A" w14:textId="40F896AF" w:rsidR="00803454" w:rsidRPr="00803454" w:rsidRDefault="00803454" w:rsidP="00E85CDD">
      <w:pPr>
        <w:rPr>
          <w:sz w:val="22"/>
          <w:szCs w:val="22"/>
          <w:lang w:val="de-DE"/>
        </w:rPr>
      </w:pPr>
      <w:r w:rsidRPr="00803454">
        <w:rPr>
          <w:b/>
          <w:bCs/>
          <w:color w:val="0070C0"/>
          <w:sz w:val="22"/>
          <w:szCs w:val="22"/>
          <w:lang w:val="de-DE"/>
        </w:rPr>
        <w:t>SPAGN Team</w:t>
      </w:r>
      <w:r w:rsidRPr="00803454">
        <w:rPr>
          <w:sz w:val="22"/>
          <w:szCs w:val="22"/>
          <w:lang w:val="de-DE"/>
        </w:rPr>
        <w:t>: Kathrin Schuster &amp; I</w:t>
      </w:r>
      <w:r>
        <w:rPr>
          <w:sz w:val="22"/>
          <w:szCs w:val="22"/>
          <w:lang w:val="de-DE"/>
        </w:rPr>
        <w:t>vana Angelovska</w:t>
      </w:r>
    </w:p>
    <w:p w14:paraId="615549B2" w14:textId="1FF926EE" w:rsidR="00F776E3" w:rsidRPr="00803454" w:rsidRDefault="00F776E3">
      <w:pPr>
        <w:rPr>
          <w:sz w:val="22"/>
          <w:szCs w:val="22"/>
          <w:lang w:val="de-DE"/>
        </w:rPr>
      </w:pPr>
    </w:p>
    <w:p w14:paraId="1A1BD521" w14:textId="4CB142B4" w:rsidR="00BE340D" w:rsidRPr="00523960" w:rsidRDefault="00523960">
      <w:pPr>
        <w:rPr>
          <w:sz w:val="22"/>
          <w:szCs w:val="22"/>
          <w:lang w:val="en-US"/>
        </w:rPr>
      </w:pPr>
      <w:r w:rsidRPr="00D70A92">
        <w:rPr>
          <w:b/>
          <w:bCs/>
          <w:color w:val="0070C0"/>
          <w:sz w:val="22"/>
          <w:szCs w:val="22"/>
          <w:lang w:val="en-US"/>
        </w:rPr>
        <w:t>Contact</w:t>
      </w:r>
      <w:r>
        <w:rPr>
          <w:sz w:val="22"/>
          <w:szCs w:val="22"/>
          <w:lang w:val="en-US"/>
        </w:rPr>
        <w:t xml:space="preserve">: </w:t>
      </w:r>
      <w:hyperlink r:id="rId9" w:history="1">
        <w:r w:rsidR="00CA20FF" w:rsidRPr="00CA20FF">
          <w:rPr>
            <w:rStyle w:val="Hyperlink"/>
            <w:sz w:val="22"/>
            <w:szCs w:val="22"/>
            <w:lang w:val="de-DE"/>
          </w:rPr>
          <w:t>bonesarcoma@sarcoma-patients.org</w:t>
        </w:r>
      </w:hyperlink>
    </w:p>
    <w:sectPr w:rsidR="00BE340D" w:rsidRPr="00523960" w:rsidSect="00E10225">
      <w:headerReference w:type="default" r:id="rId10"/>
      <w:pgSz w:w="11906" w:h="16838"/>
      <w:pgMar w:top="1417" w:right="31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A3CDF" w14:textId="77777777" w:rsidR="00E10225" w:rsidRDefault="00E10225" w:rsidP="00523960">
      <w:r>
        <w:separator/>
      </w:r>
    </w:p>
  </w:endnote>
  <w:endnote w:type="continuationSeparator" w:id="0">
    <w:p w14:paraId="796DE856" w14:textId="77777777" w:rsidR="00E10225" w:rsidRDefault="00E10225" w:rsidP="0052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0C4E9" w14:textId="77777777" w:rsidR="00E10225" w:rsidRDefault="00E10225" w:rsidP="00523960">
      <w:r>
        <w:separator/>
      </w:r>
    </w:p>
  </w:footnote>
  <w:footnote w:type="continuationSeparator" w:id="0">
    <w:p w14:paraId="74DE5058" w14:textId="77777777" w:rsidR="00E10225" w:rsidRDefault="00E10225" w:rsidP="00523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262E2" w14:textId="77777777" w:rsidR="00523960" w:rsidRPr="00F52CA8" w:rsidRDefault="00523960" w:rsidP="00523960">
    <w:pPr>
      <w:framePr w:w="2211" w:h="3555" w:hRule="exact" w:hSpace="181" w:wrap="around" w:vAnchor="page" w:hAnchor="page" w:x="9436" w:y="3261" w:anchorLock="1"/>
      <w:shd w:val="solid" w:color="FFFFFF" w:fill="FFFFFF"/>
      <w:spacing w:line="240" w:lineRule="exact"/>
      <w:rPr>
        <w:rFonts w:ascii="Arial" w:hAnsi="Arial" w:cs="Arial"/>
        <w:sz w:val="16"/>
        <w:szCs w:val="16"/>
        <w:lang w:val="pt-BR"/>
      </w:rPr>
    </w:pPr>
    <w:r w:rsidRPr="00F52CA8">
      <w:rPr>
        <w:rFonts w:ascii="Arial" w:hAnsi="Arial" w:cs="Arial"/>
        <w:sz w:val="16"/>
        <w:szCs w:val="16"/>
        <w:lang w:val="pt-BR"/>
      </w:rPr>
      <w:t>Sarcoma Patient</w:t>
    </w:r>
    <w:r>
      <w:rPr>
        <w:rFonts w:ascii="Arial" w:hAnsi="Arial" w:cs="Arial"/>
        <w:sz w:val="16"/>
        <w:szCs w:val="16"/>
        <w:lang w:val="pt-BR"/>
      </w:rPr>
      <w:t xml:space="preserve"> Advocacy</w:t>
    </w:r>
  </w:p>
  <w:p w14:paraId="6468467A" w14:textId="77777777" w:rsidR="00523960" w:rsidRPr="00F52CA8" w:rsidRDefault="00523960" w:rsidP="00523960">
    <w:pPr>
      <w:framePr w:w="2211" w:h="3555" w:hRule="exact" w:hSpace="181" w:wrap="around" w:vAnchor="page" w:hAnchor="page" w:x="9436" w:y="3261" w:anchorLock="1"/>
      <w:shd w:val="solid" w:color="FFFFFF" w:fill="FFFFFF"/>
      <w:spacing w:line="240" w:lineRule="exact"/>
      <w:rPr>
        <w:rFonts w:ascii="Arial" w:hAnsi="Arial" w:cs="Arial"/>
        <w:sz w:val="16"/>
        <w:szCs w:val="16"/>
        <w:lang w:val="pt-BR"/>
      </w:rPr>
    </w:pPr>
    <w:r>
      <w:rPr>
        <w:rFonts w:ascii="Arial" w:hAnsi="Arial" w:cs="Arial"/>
        <w:sz w:val="16"/>
        <w:szCs w:val="16"/>
        <w:lang w:val="pt-BR"/>
      </w:rPr>
      <w:t>Global Network</w:t>
    </w:r>
    <w:r w:rsidRPr="00F52CA8">
      <w:rPr>
        <w:rFonts w:ascii="Arial" w:hAnsi="Arial" w:cs="Arial"/>
        <w:sz w:val="16"/>
        <w:szCs w:val="16"/>
        <w:lang w:val="pt-BR"/>
      </w:rPr>
      <w:t xml:space="preserve"> e.V./Assoc.</w:t>
    </w:r>
  </w:p>
  <w:p w14:paraId="0F649003" w14:textId="77777777" w:rsidR="00523960" w:rsidRPr="00F52CA8" w:rsidRDefault="00523960" w:rsidP="00523960">
    <w:pPr>
      <w:framePr w:w="2211" w:h="3555" w:hRule="exact" w:hSpace="181" w:wrap="around" w:vAnchor="page" w:hAnchor="page" w:x="9436" w:y="3261" w:anchorLock="1"/>
      <w:shd w:val="solid" w:color="FFFFFF" w:fill="FFFFFF"/>
      <w:spacing w:line="240" w:lineRule="exact"/>
      <w:rPr>
        <w:rFonts w:ascii="Arial" w:hAnsi="Arial" w:cs="Arial"/>
        <w:sz w:val="16"/>
        <w:szCs w:val="16"/>
        <w:lang w:val="pt-BR"/>
      </w:rPr>
    </w:pPr>
    <w:r>
      <w:rPr>
        <w:rFonts w:ascii="Arial" w:hAnsi="Arial" w:cs="Arial"/>
        <w:sz w:val="16"/>
        <w:szCs w:val="16"/>
        <w:lang w:val="pt-BR"/>
      </w:rPr>
      <w:t>Untergasse 36</w:t>
    </w:r>
  </w:p>
  <w:p w14:paraId="1FF586D4" w14:textId="77777777" w:rsidR="00523960" w:rsidRPr="00F52CA8" w:rsidRDefault="00523960" w:rsidP="00523960">
    <w:pPr>
      <w:framePr w:w="2211" w:h="3555" w:hRule="exact" w:hSpace="181" w:wrap="around" w:vAnchor="page" w:hAnchor="page" w:x="9436" w:y="3261" w:anchorLock="1"/>
      <w:shd w:val="solid" w:color="FFFFFF" w:fill="FFFFFF"/>
      <w:spacing w:line="240" w:lineRule="exact"/>
      <w:rPr>
        <w:rFonts w:ascii="Arial" w:hAnsi="Arial" w:cs="Arial"/>
        <w:sz w:val="16"/>
        <w:szCs w:val="16"/>
        <w:lang w:val="pt-BR"/>
      </w:rPr>
    </w:pPr>
    <w:r>
      <w:rPr>
        <w:rFonts w:ascii="Arial" w:hAnsi="Arial" w:cs="Arial"/>
        <w:sz w:val="16"/>
        <w:szCs w:val="16"/>
        <w:lang w:val="pt-BR"/>
      </w:rPr>
      <w:t>61200 Wölfersheim</w:t>
    </w:r>
  </w:p>
  <w:p w14:paraId="29422E49" w14:textId="77777777" w:rsidR="00523960" w:rsidRPr="00F52CA8" w:rsidRDefault="00523960" w:rsidP="00523960">
    <w:pPr>
      <w:framePr w:w="2211" w:h="3555" w:hRule="exact" w:hSpace="181" w:wrap="around" w:vAnchor="page" w:hAnchor="page" w:x="9436" w:y="3261" w:anchorLock="1"/>
      <w:shd w:val="solid" w:color="FFFFFF" w:fill="FFFFFF"/>
      <w:spacing w:line="240" w:lineRule="exact"/>
      <w:rPr>
        <w:rFonts w:ascii="Arial" w:hAnsi="Arial" w:cs="Arial"/>
        <w:sz w:val="16"/>
        <w:szCs w:val="16"/>
        <w:lang w:val="pt-BR"/>
      </w:rPr>
    </w:pPr>
    <w:r w:rsidRPr="00F52CA8">
      <w:rPr>
        <w:rFonts w:ascii="Arial" w:hAnsi="Arial" w:cs="Arial"/>
        <w:sz w:val="16"/>
        <w:szCs w:val="16"/>
        <w:lang w:val="pt-BR"/>
      </w:rPr>
      <w:t>Germany</w:t>
    </w:r>
  </w:p>
  <w:p w14:paraId="6AF673FE" w14:textId="77777777" w:rsidR="00523960" w:rsidRPr="00F52CA8" w:rsidRDefault="00523960" w:rsidP="00523960">
    <w:pPr>
      <w:framePr w:w="2211" w:h="3555" w:hRule="exact" w:hSpace="181" w:wrap="around" w:vAnchor="page" w:hAnchor="page" w:x="9436" w:y="3261" w:anchorLock="1"/>
      <w:shd w:val="solid" w:color="FFFFFF" w:fill="FFFFFF"/>
      <w:spacing w:line="240" w:lineRule="exact"/>
      <w:rPr>
        <w:rFonts w:ascii="Arial" w:hAnsi="Arial" w:cs="Arial"/>
        <w:sz w:val="16"/>
        <w:szCs w:val="16"/>
        <w:lang w:val="pt-BR"/>
      </w:rPr>
    </w:pPr>
    <w:r>
      <w:rPr>
        <w:rFonts w:ascii="Arial" w:hAnsi="Arial" w:cs="Arial"/>
        <w:sz w:val="16"/>
        <w:szCs w:val="16"/>
        <w:lang w:val="pt-BR"/>
      </w:rPr>
      <w:t>Fon: 0049-6036 9836 141</w:t>
    </w:r>
  </w:p>
  <w:p w14:paraId="0BCCD070" w14:textId="77777777" w:rsidR="00523960" w:rsidRPr="0020196F" w:rsidRDefault="00523960" w:rsidP="00523960">
    <w:pPr>
      <w:framePr w:w="2211" w:h="3555" w:hRule="exact" w:hSpace="181" w:wrap="around" w:vAnchor="page" w:hAnchor="page" w:x="9436" w:y="3261" w:anchorLock="1"/>
      <w:shd w:val="solid" w:color="FFFFFF" w:fill="FFFFFF"/>
      <w:spacing w:line="240" w:lineRule="exact"/>
      <w:rPr>
        <w:rFonts w:ascii="Arial" w:hAnsi="Arial" w:cs="Arial"/>
        <w:sz w:val="16"/>
        <w:szCs w:val="16"/>
        <w:lang w:val="de-DE"/>
      </w:rPr>
    </w:pPr>
    <w:r w:rsidRPr="00F52CA8">
      <w:rPr>
        <w:rFonts w:ascii="Arial" w:hAnsi="Arial" w:cs="Arial"/>
        <w:sz w:val="16"/>
        <w:szCs w:val="16"/>
        <w:lang w:val="pt-BR"/>
      </w:rPr>
      <w:t>info@sarcoma-patients.eu</w:t>
    </w:r>
  </w:p>
  <w:p w14:paraId="4B650139" w14:textId="77777777" w:rsidR="00523960" w:rsidRPr="0020196F" w:rsidRDefault="00523960" w:rsidP="00523960">
    <w:pPr>
      <w:framePr w:w="2211" w:h="3555" w:hRule="exact" w:hSpace="181" w:wrap="around" w:vAnchor="page" w:hAnchor="page" w:x="9436" w:y="3261" w:anchorLock="1"/>
      <w:shd w:val="solid" w:color="FFFFFF" w:fill="FFFFFF"/>
      <w:spacing w:line="240" w:lineRule="exact"/>
      <w:rPr>
        <w:rFonts w:ascii="Arial" w:hAnsi="Arial" w:cs="Arial"/>
        <w:sz w:val="16"/>
        <w:szCs w:val="16"/>
        <w:lang w:val="de-DE"/>
      </w:rPr>
    </w:pPr>
  </w:p>
  <w:p w14:paraId="7CECCBCF" w14:textId="77777777" w:rsidR="00523960" w:rsidRPr="00DA0BA7" w:rsidRDefault="00523960" w:rsidP="00523960">
    <w:pPr>
      <w:framePr w:w="2211" w:h="3555" w:hRule="exact" w:hSpace="181" w:wrap="around" w:vAnchor="page" w:hAnchor="page" w:x="9436" w:y="3261" w:anchorLock="1"/>
      <w:shd w:val="solid" w:color="FFFFFF" w:fill="FFFFFF"/>
      <w:spacing w:line="240" w:lineRule="exact"/>
      <w:rPr>
        <w:rFonts w:ascii="Arial" w:hAnsi="Arial" w:cs="Arial"/>
        <w:b/>
        <w:i/>
        <w:color w:val="0075BB"/>
        <w:sz w:val="20"/>
        <w:szCs w:val="20"/>
      </w:rPr>
    </w:pPr>
    <w:r>
      <w:rPr>
        <w:rFonts w:ascii="Arial" w:hAnsi="Arial" w:cs="Arial"/>
        <w:b/>
        <w:i/>
        <w:color w:val="0075BB"/>
        <w:sz w:val="20"/>
        <w:szCs w:val="20"/>
      </w:rPr>
      <w:t xml:space="preserve">Working </w:t>
    </w:r>
    <w:proofErr w:type="spellStart"/>
    <w:r>
      <w:rPr>
        <w:rFonts w:ascii="Arial" w:hAnsi="Arial" w:cs="Arial"/>
        <w:b/>
        <w:i/>
        <w:color w:val="0075BB"/>
        <w:sz w:val="20"/>
        <w:szCs w:val="20"/>
      </w:rPr>
      <w:t>together</w:t>
    </w:r>
    <w:proofErr w:type="spellEnd"/>
    <w:r>
      <w:rPr>
        <w:rFonts w:ascii="Arial" w:hAnsi="Arial" w:cs="Arial"/>
        <w:b/>
        <w:i/>
        <w:color w:val="0075BB"/>
        <w:sz w:val="20"/>
        <w:szCs w:val="20"/>
      </w:rPr>
      <w:t xml:space="preserve">, making a </w:t>
    </w:r>
    <w:proofErr w:type="spellStart"/>
    <w:r>
      <w:rPr>
        <w:rFonts w:ascii="Arial" w:hAnsi="Arial" w:cs="Arial"/>
        <w:b/>
        <w:i/>
        <w:color w:val="0075BB"/>
        <w:sz w:val="20"/>
        <w:szCs w:val="20"/>
      </w:rPr>
      <w:t>difference</w:t>
    </w:r>
    <w:proofErr w:type="spellEnd"/>
    <w:r>
      <w:rPr>
        <w:rFonts w:ascii="Arial" w:hAnsi="Arial" w:cs="Arial"/>
        <w:b/>
        <w:i/>
        <w:color w:val="0075BB"/>
        <w:sz w:val="20"/>
        <w:szCs w:val="20"/>
      </w:rPr>
      <w:t>.</w:t>
    </w:r>
  </w:p>
  <w:p w14:paraId="2353B7D1" w14:textId="77777777" w:rsidR="00523960" w:rsidRDefault="00523960" w:rsidP="00523960">
    <w:pPr>
      <w:pStyle w:val="Kopfzeile"/>
    </w:pPr>
    <w:r>
      <w:rPr>
        <w:noProof/>
        <w:lang w:val="de-DE"/>
      </w:rPr>
      <w:drawing>
        <wp:anchor distT="0" distB="0" distL="114300" distR="114300" simplePos="0" relativeHeight="251659264" behindDoc="1" locked="0" layoutInCell="1" allowOverlap="1" wp14:anchorId="04B657EF" wp14:editId="62581016">
          <wp:simplePos x="0" y="0"/>
          <wp:positionH relativeFrom="column">
            <wp:posOffset>4861560</wp:posOffset>
          </wp:positionH>
          <wp:positionV relativeFrom="paragraph">
            <wp:posOffset>-44450</wp:posOffset>
          </wp:positionV>
          <wp:extent cx="1128808" cy="1264920"/>
          <wp:effectExtent l="0" t="0" r="0" b="0"/>
          <wp:wrapNone/>
          <wp:docPr id="2084051123" name="Grafik 2084051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808" cy="126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BF8AE4" w14:textId="77777777" w:rsidR="00523960" w:rsidRDefault="00523960" w:rsidP="00523960">
    <w:pPr>
      <w:pStyle w:val="Kopfzeile"/>
    </w:pPr>
  </w:p>
  <w:p w14:paraId="18402EFD" w14:textId="77777777" w:rsidR="00523960" w:rsidRDefault="00523960" w:rsidP="00523960">
    <w:pPr>
      <w:pStyle w:val="Kopfzeile"/>
    </w:pPr>
  </w:p>
  <w:p w14:paraId="7157516F" w14:textId="77777777" w:rsidR="00523960" w:rsidRDefault="00523960" w:rsidP="00523960">
    <w:pPr>
      <w:pStyle w:val="Kopfzeile"/>
    </w:pPr>
  </w:p>
  <w:p w14:paraId="3DDC1200" w14:textId="77777777" w:rsidR="00523960" w:rsidRDefault="00523960" w:rsidP="00523960">
    <w:pPr>
      <w:pStyle w:val="Kopfzeile"/>
    </w:pPr>
  </w:p>
  <w:p w14:paraId="3EAB5B73" w14:textId="77777777" w:rsidR="00523960" w:rsidRDefault="00523960" w:rsidP="00523960">
    <w:pPr>
      <w:pStyle w:val="Kopfzeile"/>
    </w:pPr>
  </w:p>
  <w:p w14:paraId="4EE00F43" w14:textId="77777777" w:rsidR="00523960" w:rsidRDefault="00523960" w:rsidP="00523960">
    <w:pPr>
      <w:pStyle w:val="Kopfzeile"/>
    </w:pPr>
  </w:p>
  <w:p w14:paraId="09DB8750" w14:textId="77777777" w:rsidR="00523960" w:rsidRDefault="0052396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15434"/>
    <w:multiLevelType w:val="hybridMultilevel"/>
    <w:tmpl w:val="28F80542"/>
    <w:lvl w:ilvl="0" w:tplc="095080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6D0E2F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E84DE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66461A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0C8F65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416D97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5FED92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12E9FE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FB42F8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C703E7"/>
    <w:multiLevelType w:val="hybridMultilevel"/>
    <w:tmpl w:val="B14C5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51474"/>
    <w:multiLevelType w:val="hybridMultilevel"/>
    <w:tmpl w:val="ECE220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07032"/>
    <w:multiLevelType w:val="hybridMultilevel"/>
    <w:tmpl w:val="FC6EB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213740">
    <w:abstractNumId w:val="2"/>
  </w:num>
  <w:num w:numId="2" w16cid:durableId="1921017066">
    <w:abstractNumId w:val="3"/>
  </w:num>
  <w:num w:numId="3" w16cid:durableId="889879867">
    <w:abstractNumId w:val="0"/>
  </w:num>
  <w:num w:numId="4" w16cid:durableId="1401518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0D"/>
    <w:rsid w:val="001051CC"/>
    <w:rsid w:val="00187BBF"/>
    <w:rsid w:val="001C6D15"/>
    <w:rsid w:val="001D7515"/>
    <w:rsid w:val="0020395A"/>
    <w:rsid w:val="0020542C"/>
    <w:rsid w:val="002145DC"/>
    <w:rsid w:val="002510AD"/>
    <w:rsid w:val="00345698"/>
    <w:rsid w:val="003F26FA"/>
    <w:rsid w:val="0041300B"/>
    <w:rsid w:val="00437618"/>
    <w:rsid w:val="0044705E"/>
    <w:rsid w:val="00514F06"/>
    <w:rsid w:val="00523960"/>
    <w:rsid w:val="00543A7D"/>
    <w:rsid w:val="005841AF"/>
    <w:rsid w:val="005B205C"/>
    <w:rsid w:val="005F73DD"/>
    <w:rsid w:val="006271EA"/>
    <w:rsid w:val="0065230B"/>
    <w:rsid w:val="006549DB"/>
    <w:rsid w:val="00656B7D"/>
    <w:rsid w:val="0066759E"/>
    <w:rsid w:val="006966D1"/>
    <w:rsid w:val="00702681"/>
    <w:rsid w:val="00706DBD"/>
    <w:rsid w:val="007D3A6F"/>
    <w:rsid w:val="00800919"/>
    <w:rsid w:val="00803454"/>
    <w:rsid w:val="00805DDC"/>
    <w:rsid w:val="008444E4"/>
    <w:rsid w:val="00887C81"/>
    <w:rsid w:val="00905AC7"/>
    <w:rsid w:val="009313C2"/>
    <w:rsid w:val="009A44AE"/>
    <w:rsid w:val="009B43E3"/>
    <w:rsid w:val="00A90675"/>
    <w:rsid w:val="00AE13CE"/>
    <w:rsid w:val="00B97D11"/>
    <w:rsid w:val="00BE340D"/>
    <w:rsid w:val="00C169D4"/>
    <w:rsid w:val="00CA20FF"/>
    <w:rsid w:val="00CA2610"/>
    <w:rsid w:val="00D70A92"/>
    <w:rsid w:val="00D947B1"/>
    <w:rsid w:val="00DA41EE"/>
    <w:rsid w:val="00DC4ECE"/>
    <w:rsid w:val="00DE6781"/>
    <w:rsid w:val="00E10225"/>
    <w:rsid w:val="00E85CDD"/>
    <w:rsid w:val="00ED24A3"/>
    <w:rsid w:val="00F22B7B"/>
    <w:rsid w:val="00F44595"/>
    <w:rsid w:val="00F72BAC"/>
    <w:rsid w:val="00F7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32DF"/>
  <w15:chartTrackingRefBased/>
  <w15:docId w15:val="{871EF2D7-031A-C646-9871-A4B578E3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340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051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051C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051C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51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51CC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5239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23960"/>
  </w:style>
  <w:style w:type="paragraph" w:styleId="Fuzeile">
    <w:name w:val="footer"/>
    <w:basedOn w:val="Standard"/>
    <w:link w:val="FuzeileZchn"/>
    <w:uiPriority w:val="99"/>
    <w:unhideWhenUsed/>
    <w:rsid w:val="005239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3960"/>
  </w:style>
  <w:style w:type="paragraph" w:styleId="StandardWeb">
    <w:name w:val="Normal (Web)"/>
    <w:basedOn w:val="Standard"/>
    <w:uiPriority w:val="99"/>
    <w:semiHidden/>
    <w:unhideWhenUsed/>
    <w:rsid w:val="00CA20F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CA20F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20F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05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8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8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nesarcoma@sarcoma-patient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16CD8-0D28-4FA0-8225-825DDD21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 Gonzato</dc:creator>
  <cp:keywords/>
  <dc:description/>
  <cp:lastModifiedBy>Kathrin Schuster</cp:lastModifiedBy>
  <cp:revision>3</cp:revision>
  <dcterms:created xsi:type="dcterms:W3CDTF">2024-01-17T06:19:00Z</dcterms:created>
  <dcterms:modified xsi:type="dcterms:W3CDTF">2024-01-17T06:19:00Z</dcterms:modified>
</cp:coreProperties>
</file>